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BC" w:rsidRDefault="007B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СИЛЛАБУС</w:t>
      </w:r>
    </w:p>
    <w:p w:rsidR="004F5DBC" w:rsidRDefault="004F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5DBC" w:rsidRDefault="007B19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молекулы до клетки </w:t>
      </w:r>
    </w:p>
    <w:tbl>
      <w:tblPr>
        <w:tblStyle w:val="afff6"/>
        <w:tblW w:w="10468" w:type="dxa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4263"/>
        <w:gridCol w:w="905"/>
        <w:gridCol w:w="4739"/>
      </w:tblGrid>
      <w:tr w:rsidR="004F5DBC">
        <w:trPr>
          <w:cantSplit/>
          <w:tblHeader/>
        </w:trPr>
        <w:tc>
          <w:tcPr>
            <w:tcW w:w="561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9907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Общая информация о дисциплине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Факультет/школа: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школа медицины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Кредиты (ECTS):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кредитов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Лекции-0/практические -7 </w:t>
            </w:r>
          </w:p>
        </w:tc>
      </w:tr>
      <w:tr w:rsidR="004F5DBC">
        <w:trPr>
          <w:cantSplit/>
          <w:trHeight w:val="425"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Образовательная программа (ОП): 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6B10103 Общая медицина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Пререквизиты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>:-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1268"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263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Агентство и год аккредитации ОП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НААР 2021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СРС/СРМ/СРД (кол-во):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кредитов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дисциплины: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molecule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cell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/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т молекулы до клетки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СРСП/СРМП/СРДП (кол-во):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1,17 кредитов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</w:rPr>
              <w:t>ID дисциплины:     103319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Обязательный</w:t>
            </w:r>
            <w:r>
              <w:rPr>
                <w:rFonts w:ascii="Times New Roman" w:eastAsia="Times New Roman" w:hAnsi="Times New Roman" w:cs="Times New Roman"/>
              </w:rPr>
              <w:t xml:space="preserve"> - да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blHeader/>
        </w:trPr>
        <w:tc>
          <w:tcPr>
            <w:tcW w:w="561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9907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дисциплины</w:t>
            </w:r>
          </w:p>
        </w:tc>
      </w:tr>
      <w:tr w:rsidR="004F5DBC">
        <w:trPr>
          <w:cantSplit/>
          <w:tblHeader/>
        </w:trPr>
        <w:tc>
          <w:tcPr>
            <w:tcW w:w="561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охватывает вопросы структурно-функциональной организации клеток и наследственного материала и жизненный цикл клеток, включая механизмы размножения, роста, дифференцировки, старения и смерти, а также основные физико-химические принципы и концепции, нео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бходимые для их понимания.</w:t>
            </w:r>
          </w:p>
        </w:tc>
      </w:tr>
      <w:tr w:rsidR="004F5DBC">
        <w:trPr>
          <w:cantSplit/>
          <w:tblHeader/>
        </w:trPr>
        <w:tc>
          <w:tcPr>
            <w:tcW w:w="561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07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 дисциплины </w:t>
            </w:r>
          </w:p>
        </w:tc>
      </w:tr>
      <w:tr w:rsidR="004F5DBC">
        <w:trPr>
          <w:cantSplit/>
          <w:tblHeader/>
        </w:trPr>
        <w:tc>
          <w:tcPr>
            <w:tcW w:w="10468" w:type="dxa"/>
            <w:gridSpan w:val="4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основных понятий о физико-химической сущности процессов и явлений, происходящих в организме. Концепции химии, биофизики и биологии иллюстрируются через медицинские кейсы с целью стимуляции у студ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ента аналитического мышления и навыков как самостоятельной, так и командной работы над учебным материалом.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5DBC">
        <w:trPr>
          <w:cantSplit/>
          <w:tblHeader/>
        </w:trPr>
        <w:tc>
          <w:tcPr>
            <w:tcW w:w="561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9907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Результаты обучения (РО) по дисциплине (3-5)</w:t>
            </w:r>
          </w:p>
        </w:tc>
      </w:tr>
      <w:tr w:rsidR="004F5DBC">
        <w:trPr>
          <w:cantSplit/>
          <w:tblHeader/>
        </w:trPr>
        <w:tc>
          <w:tcPr>
            <w:tcW w:w="561" w:type="dxa"/>
            <w:vMerge w:val="restart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 дисциплины </w:t>
            </w:r>
          </w:p>
        </w:tc>
        <w:tc>
          <w:tcPr>
            <w:tcW w:w="5644" w:type="dxa"/>
            <w:gridSpan w:val="2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 по образовательной программе,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связан РО по дисциплине </w:t>
            </w:r>
          </w:p>
          <w:p w:rsidR="004F5DBC" w:rsidRDefault="004F5D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240"/>
          <w:tblHeader/>
        </w:trPr>
        <w:tc>
          <w:tcPr>
            <w:tcW w:w="561" w:type="dxa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3" w:type="dxa"/>
          </w:tcPr>
          <w:p w:rsidR="004F5DBC" w:rsidRDefault="007B19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объяснять, с приведением релевантных примеров, взаимосвязь структуры с функцией на уровне молекул, клеточных органелл и целостной клетки, используя соответствующие термины и определения; 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4" w:type="dxa"/>
            <w:gridSpan w:val="2"/>
            <w:vMerge w:val="restart"/>
          </w:tcPr>
          <w:p w:rsidR="004F5DBC" w:rsidRDefault="007B1937">
            <w:pPr>
              <w:tabs>
                <w:tab w:val="left" w:pos="523"/>
              </w:tabs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демонстрировать понимание и применять на практике знания в обл</w:t>
            </w:r>
            <w:r>
              <w:rPr>
                <w:rFonts w:ascii="Times New Roman" w:eastAsia="Times New Roman" w:hAnsi="Times New Roman" w:cs="Times New Roman"/>
              </w:rPr>
              <w:t xml:space="preserve">асти биомедицинских, клинических, эпидемиологических и социально-поведенческих наук, включая общепринятые, развивающиеся и постоянно обновляемые знания для решения клинических проблем; </w:t>
            </w:r>
          </w:p>
          <w:p w:rsidR="004F5DBC" w:rsidRDefault="004F5DBC">
            <w:pPr>
              <w:tabs>
                <w:tab w:val="left" w:pos="523"/>
              </w:tabs>
              <w:ind w:left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200"/>
          <w:tblHeader/>
        </w:trPr>
        <w:tc>
          <w:tcPr>
            <w:tcW w:w="561" w:type="dxa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3" w:type="dxa"/>
          </w:tcPr>
          <w:p w:rsidR="004F5DBC" w:rsidRDefault="007B19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интегрировать знания химии, биофизики и клеточной биологии для объяснения основных субклеточных и клеточных феноменов, имеющие важное медицинское значение;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4" w:type="dxa"/>
            <w:gridSpan w:val="2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200"/>
          <w:tblHeader/>
        </w:trPr>
        <w:tc>
          <w:tcPr>
            <w:tcW w:w="561" w:type="dxa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3" w:type="dxa"/>
          </w:tcPr>
          <w:p w:rsidR="004F5DBC" w:rsidRDefault="007B19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находить, анализировать и обобщать учебно-научную информацию применительно к ситуациям, связанным с содержанием курса;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4" w:type="dxa"/>
            <w:gridSpan w:val="2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200"/>
          <w:tblHeader/>
        </w:trPr>
        <w:tc>
          <w:tcPr>
            <w:tcW w:w="561" w:type="dxa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4.работать в команде, аргументировано отстаивать свою точку зрения, рассматривать мнение других, предоставлять и получать обратную связь правильно используя навыки межличностной и групповой коммуникации</w:t>
            </w:r>
          </w:p>
        </w:tc>
        <w:tc>
          <w:tcPr>
            <w:tcW w:w="5644" w:type="dxa"/>
            <w:gridSpan w:val="2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blHeader/>
        </w:trPr>
        <w:tc>
          <w:tcPr>
            <w:tcW w:w="561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907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оценивания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(отметьте </w:t>
            </w:r>
            <w:r>
              <w:rPr>
                <w:rFonts w:ascii="Times New Roman" w:eastAsia="Times New Roman" w:hAnsi="Times New Roman" w:cs="Times New Roman"/>
              </w:rPr>
              <w:t>(да – н</w:t>
            </w:r>
            <w:r>
              <w:rPr>
                <w:rFonts w:ascii="Times New Roman" w:eastAsia="Times New Roman" w:hAnsi="Times New Roman" w:cs="Times New Roman"/>
              </w:rPr>
              <w:t xml:space="preserve">ет) / </w:t>
            </w:r>
            <w:r>
              <w:rPr>
                <w:rFonts w:ascii="Times New Roman" w:eastAsia="Times New Roman" w:hAnsi="Times New Roman" w:cs="Times New Roman"/>
                <w:i/>
              </w:rPr>
              <w:t>укажите свои)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5.1 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 по MCQ на понимание и применение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5.5 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5.2 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(кейс, видео, НИРС – тезис, доклад, статья) </w:t>
            </w:r>
            <w:r>
              <w:rPr>
                <w:rFonts w:ascii="Times New Roman" w:eastAsia="Times New Roman" w:hAnsi="Times New Roman" w:cs="Times New Roman"/>
              </w:rPr>
              <w:t xml:space="preserve">– оценка творческого задания. </w:t>
            </w:r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5.6 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Коллоквиум: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5.3 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Кейс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стади</w:t>
            </w:r>
            <w:proofErr w:type="spellEnd"/>
          </w:p>
        </w:tc>
        <w:tc>
          <w:tcPr>
            <w:tcW w:w="90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5.7 </w:t>
            </w:r>
          </w:p>
        </w:tc>
        <w:tc>
          <w:tcPr>
            <w:tcW w:w="4739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 - письменный опрос</w:t>
            </w:r>
          </w:p>
        </w:tc>
      </w:tr>
      <w:tr w:rsidR="004F5DBC">
        <w:trPr>
          <w:cantSplit/>
          <w:tblHeader/>
        </w:trPr>
        <w:tc>
          <w:tcPr>
            <w:tcW w:w="561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5.4 </w:t>
            </w:r>
          </w:p>
        </w:tc>
        <w:tc>
          <w:tcPr>
            <w:tcW w:w="4263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  <w:tc>
          <w:tcPr>
            <w:tcW w:w="905" w:type="dxa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9" w:type="dxa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5DBC" w:rsidRDefault="004F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485" w:type="dxa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105"/>
        <w:gridCol w:w="330"/>
        <w:gridCol w:w="105"/>
        <w:gridCol w:w="510"/>
        <w:gridCol w:w="105"/>
        <w:gridCol w:w="465"/>
        <w:gridCol w:w="810"/>
        <w:gridCol w:w="165"/>
        <w:gridCol w:w="345"/>
        <w:gridCol w:w="465"/>
        <w:gridCol w:w="1185"/>
        <w:gridCol w:w="345"/>
        <w:gridCol w:w="2445"/>
        <w:gridCol w:w="165"/>
        <w:gridCol w:w="1410"/>
        <w:gridCol w:w="855"/>
      </w:tblGrid>
      <w:tr w:rsidR="004F5DBC">
        <w:trPr>
          <w:cantSplit/>
          <w:tblHeader/>
        </w:trPr>
        <w:tc>
          <w:tcPr>
            <w:tcW w:w="675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9810" w:type="dxa"/>
            <w:gridSpan w:val="16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Подробная информация о дисциплине</w:t>
            </w:r>
          </w:p>
        </w:tc>
      </w:tr>
      <w:tr w:rsidR="004F5DBC">
        <w:trPr>
          <w:cantSplit/>
          <w:tblHeader/>
        </w:trPr>
        <w:tc>
          <w:tcPr>
            <w:tcW w:w="67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405" w:type="dxa"/>
            <w:gridSpan w:val="1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Академический год: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18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Расписание (дни занятий, время):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8.00 по 14.00</w:t>
            </w:r>
          </w:p>
        </w:tc>
      </w:tr>
      <w:tr w:rsidR="004F5DBC">
        <w:trPr>
          <w:cantSplit/>
          <w:tblHeader/>
        </w:trPr>
        <w:tc>
          <w:tcPr>
            <w:tcW w:w="67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3405" w:type="dxa"/>
            <w:gridSpan w:val="1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Семестр: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семестр</w:t>
            </w:r>
          </w:p>
        </w:tc>
        <w:tc>
          <w:tcPr>
            <w:tcW w:w="118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Место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(учебный корпус, кабинет, платформа и ссылка на собрание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применением ДОТ):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Толе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96, </w:t>
            </w:r>
          </w:p>
        </w:tc>
      </w:tr>
      <w:tr w:rsidR="004F5DBC">
        <w:trPr>
          <w:cantSplit/>
          <w:tblHeader/>
        </w:trPr>
        <w:tc>
          <w:tcPr>
            <w:tcW w:w="675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810" w:type="dxa"/>
            <w:gridSpan w:val="16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4F5DBC">
        <w:trPr>
          <w:cantSplit/>
          <w:tblHeader/>
        </w:trPr>
        <w:tc>
          <w:tcPr>
            <w:tcW w:w="2295" w:type="dxa"/>
            <w:gridSpan w:val="7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785" w:type="dxa"/>
            <w:gridSpan w:val="4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185" w:type="dxa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Кафедра</w:t>
            </w:r>
          </w:p>
        </w:tc>
        <w:tc>
          <w:tcPr>
            <w:tcW w:w="295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Контактная информация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(тел.,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5" w:type="dxa"/>
            <w:gridSpan w:val="2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для консультаций или по предварительной записи</w:t>
            </w:r>
          </w:p>
        </w:tc>
      </w:tr>
      <w:tr w:rsidR="004F5DBC">
        <w:trPr>
          <w:cantSplit/>
          <w:trHeight w:val="1656"/>
          <w:tblHeader/>
        </w:trPr>
        <w:tc>
          <w:tcPr>
            <w:tcW w:w="2295" w:type="dxa"/>
            <w:gridSpan w:val="7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Преподаватель/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1785" w:type="dxa"/>
            <w:gridSpan w:val="4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Аралбаева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А.Н.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Шевченко А. С.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К.Д.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Айтжан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М.У.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Малик А.М.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Камалова М.Н.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Г.Ж.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Иманбай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1185" w:type="dxa"/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ФМ</w:t>
            </w:r>
          </w:p>
        </w:tc>
        <w:tc>
          <w:tcPr>
            <w:tcW w:w="2955" w:type="dxa"/>
            <w:gridSpan w:val="3"/>
          </w:tcPr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>
              <w:r w:rsidR="007B1937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aray3005@mail.ru</w:t>
              </w:r>
            </w:hyperlink>
            <w:r w:rsidR="007B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="007B1937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shevchenko.anas@gmail.co</w:t>
              </w:r>
            </w:hyperlink>
            <w:r w:rsidR="007B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B193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proofErr w:type="spellEnd"/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007B19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tolenova.karakoz@kaznu.kz</w:t>
              </w:r>
            </w:hyperlink>
          </w:p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aitzhan.mengtay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@med-kaznu.com</w:t>
              </w:r>
            </w:hyperlink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07B19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Azhar.malikkyzy@gmail.com</w:t>
              </w:r>
            </w:hyperlink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7B19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kamalovamanshuk@gmail.com</w:t>
              </w:r>
            </w:hyperlink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>
              <w:r w:rsidR="007B193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gulsaraakanova.kz@gmail.com</w:t>
              </w:r>
            </w:hyperlink>
          </w:p>
          <w:p w:rsidR="004F5DBC" w:rsidRDefault="004F5D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экзаменационной сессией в рамках 60 минут</w:t>
            </w:r>
          </w:p>
        </w:tc>
      </w:tr>
      <w:tr w:rsidR="004F5DBC">
        <w:trPr>
          <w:cantSplit/>
          <w:tblHeader/>
        </w:trPr>
        <w:tc>
          <w:tcPr>
            <w:tcW w:w="1215" w:type="dxa"/>
            <w:gridSpan w:val="4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270" w:type="dxa"/>
            <w:gridSpan w:val="1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 дисциплины</w:t>
            </w:r>
          </w:p>
        </w:tc>
      </w:tr>
      <w:tr w:rsidR="004F5DBC">
        <w:trPr>
          <w:cantSplit/>
          <w:tblHeader/>
        </w:trPr>
        <w:tc>
          <w:tcPr>
            <w:tcW w:w="1215" w:type="dxa"/>
            <w:gridSpan w:val="4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Темы и задания</w:t>
            </w:r>
          </w:p>
        </w:tc>
        <w:tc>
          <w:tcPr>
            <w:tcW w:w="85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4F5DBC">
        <w:trPr>
          <w:cantSplit/>
          <w:trHeight w:val="62"/>
          <w:tblHeader/>
        </w:trPr>
        <w:tc>
          <w:tcPr>
            <w:tcW w:w="1215" w:type="dxa"/>
            <w:gridSpan w:val="4"/>
            <w:vMerge w:val="restart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1.1Практическое занятие: Введение в дисциплину </w:t>
            </w:r>
          </w:p>
        </w:tc>
        <w:tc>
          <w:tcPr>
            <w:tcW w:w="855" w:type="dxa"/>
            <w:vMerge w:val="restart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2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для чтения: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Н. Н.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Молекулярная биология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особие / Н.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изд. 2-е,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- М. : 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нформ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агентство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855" w:type="dxa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62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инструктаж по оформлению письменных работ, разъяснение по проведению коллоквиумов, итогового контроля </w:t>
            </w:r>
          </w:p>
        </w:tc>
        <w:tc>
          <w:tcPr>
            <w:tcW w:w="85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2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 Практическое занятие: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Атомы</w:t>
            </w:r>
          </w:p>
        </w:tc>
        <w:tc>
          <w:tcPr>
            <w:tcW w:w="855" w:type="dxa"/>
            <w:vMerge w:val="restart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2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для чтения: 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vMerge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2"/>
          <w:tblHeader/>
        </w:trPr>
        <w:tc>
          <w:tcPr>
            <w:tcW w:w="1215" w:type="dxa"/>
            <w:gridSpan w:val="4"/>
            <w:vMerge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СРСП: консультации по подготовке к СРС,  инструктаж по оформлению письменных работ, тестовых заданий, разъяснение по проведению коллоквиумов, итогового контроля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F5DBC" w:rsidRDefault="004F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4F5DBC" w:rsidRDefault="004F5DB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2.1 Практическое занятие: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Биомолекулы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49-58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68-99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Bruce Alberts, Dennis Bray Karen Hopkin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-58-79</w:t>
            </w:r>
          </w:p>
        </w:tc>
        <w:tc>
          <w:tcPr>
            <w:tcW w:w="855" w:type="dxa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консультация по письменным работам, тестам </w:t>
            </w:r>
          </w:p>
        </w:tc>
        <w:tc>
          <w:tcPr>
            <w:tcW w:w="85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Практическое занятие: Молекулы</w:t>
            </w:r>
          </w:p>
        </w:tc>
        <w:tc>
          <w:tcPr>
            <w:tcW w:w="855" w:type="dxa"/>
            <w:shd w:val="clear" w:color="auto" w:fill="00B0F0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обсуждение письменных работ студентов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3.1Практическое занятие: Ферменты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63-67</w:t>
            </w:r>
          </w:p>
          <w:p w:rsidR="004F5DBC" w:rsidRDefault="007B193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С. 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Медицинская и клиническая биохимия [Текст]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 / С. 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Т.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- [</w:t>
            </w:r>
            <w:r>
              <w:rPr>
                <w:rFonts w:ascii="Times New Roman" w:eastAsia="Times New Roman" w:hAnsi="Times New Roman" w:cs="Times New Roman"/>
              </w:rPr>
              <w:t xml:space="preserve">4-е изд., доп.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.].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Book.-2018</w:t>
            </w:r>
            <w: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3.2Практическое занятие: Стереохимия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4.1 Методы исследования клеток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28-37</w:t>
            </w:r>
          </w:p>
          <w:p w:rsidR="004F5DBC" w:rsidRPr="007B1937" w:rsidRDefault="004F5DBC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-5-8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Практическое занятие: Типы химических реакций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F5DBC" w:rsidRPr="007B1937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FFFFFF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Коллоквиум 1</w:t>
            </w:r>
          </w:p>
        </w:tc>
        <w:tc>
          <w:tcPr>
            <w:tcW w:w="855" w:type="dxa"/>
            <w:shd w:val="clear" w:color="auto" w:fill="FFFFFF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 Практическое занятие: Компоненты клетки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Плазматическая мембрана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501-537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Институт компьютерных исследований – 2013-страницы 953-1069 (ТОМ 2)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359-417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тестам, консультации по проведению коллоквиума 1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5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 Практическое занятие: Электрохимические процессы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 Практическое занятие: Цитоплазма. Включения.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yellow"/>
                <w:lang w:val="en-US"/>
              </w:rPr>
              <w:t>49-58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68-99</w:t>
            </w:r>
            <w:r>
              <w:rPr>
                <w:rFonts w:ascii="Times New Roman" w:eastAsia="Times New Roman" w:hAnsi="Times New Roman" w:cs="Times New Roman"/>
              </w:rPr>
              <w:t xml:space="preserve"> (ТОМ 2)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58-79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 Практическое занятие: Термохимия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СРС: решение интегрированной ситуационной задачи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стади-кейс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консультации по </w:t>
            </w:r>
            <w:r>
              <w:rPr>
                <w:rFonts w:ascii="Times New Roman" w:eastAsia="Times New Roman" w:hAnsi="Times New Roman" w:cs="Times New Roman"/>
              </w:rPr>
              <w:t>результатам СРС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4F5DBC" w:rsidRDefault="004F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7.1 Практическое занятие: Органоиды энергетического обмена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итохондрии.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425-447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Институт компьютерных исследований – 2013-страницы 138-160 (ТОМ 2)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-419-470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2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7.2 Практическое занятие: Термодинамика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F5DBC" w:rsidRPr="007B1937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tcBorders>
              <w:right w:val="single" w:sz="4" w:space="0" w:color="000000"/>
            </w:tcBorders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22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Коллоквиум 2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0485" w:type="dxa"/>
            <w:gridSpan w:val="17"/>
            <w:tcBorders>
              <w:right w:val="single" w:sz="4" w:space="0" w:color="000000"/>
            </w:tcBorders>
            <w:shd w:val="clear" w:color="auto" w:fill="70AD47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Рубежный контроль 1 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15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8.1 Практическое занятие: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Вакуолярная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клетки  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383-417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1004-1151(Том 2)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-488-523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СРСП: консультации по подготовке к СРС,  консультация по письменным работам, тестам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разбор ошибок коллоквиума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 Практическое занятие: Вода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9.1 Практическое занятие: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Вакуолярная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клетки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383-417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1004-1151(Том 2)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-488-523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 Практическое занятие: Растворы. Дисперсные системы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 для чтения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Основная:</w:t>
            </w:r>
            <w:r>
              <w:rPr>
                <w:rFonts w:ascii="Times New Roman" w:eastAsia="Times New Roman" w:hAnsi="Times New Roman" w:cs="Times New Roman"/>
              </w:rPr>
              <w:t xml:space="preserve">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Alagars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10.1 Практическое занятие: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органоиды клетки.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 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453-490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Институт компьютерных исследований – 2013-страницы 1483-1620 (том 3)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-565-603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 Практическое занятие: Концентрация растворов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1 Практическое занятие: Межклеточные взаимодействия.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Гликокаликс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Клеточная адгезия, клеточные контакты. Внеклеточный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матр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539-553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</w:t>
            </w:r>
            <w:r>
              <w:rPr>
                <w:rFonts w:ascii="Times New Roman" w:eastAsia="Times New Roman" w:hAnsi="Times New Roman" w:cs="Times New Roman"/>
              </w:rPr>
              <w:t xml:space="preserve">ут компьютерных исследований – 2013-страницы 1739-1849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том 3)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ISBN0815344546 (ISBN13: </w:t>
            </w:r>
            <w:r>
              <w:rPr>
                <w:rFonts w:ascii="Times New Roman" w:eastAsia="Times New Roman" w:hAnsi="Times New Roman" w:cs="Times New Roman"/>
              </w:rPr>
              <w:t>9780815344544)-2013- страницы -683-701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11.2 Практическое занятие: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растворов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СРСП: консультации по подготовке к СРС,  консультация по письменным работам, те</w:t>
            </w:r>
            <w:r>
              <w:rPr>
                <w:rFonts w:ascii="Times New Roman" w:eastAsia="Times New Roman" w:hAnsi="Times New Roman" w:cs="Times New Roman"/>
              </w:rPr>
              <w:t xml:space="preserve">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FFFFFF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Коллоквиум 3</w:t>
            </w:r>
          </w:p>
        </w:tc>
        <w:tc>
          <w:tcPr>
            <w:tcW w:w="855" w:type="dxa"/>
            <w:shd w:val="clear" w:color="auto" w:fill="FFFFFF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12.1 Практическое занятие: Наследственный аппарат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клетки. Ядро. Ядрышко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355-383</w:t>
            </w:r>
          </w:p>
          <w:p w:rsidR="004F5DBC" w:rsidRDefault="007B1937">
            <w:pPr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Н. Н. Молекулярная биология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особие / Н.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изд. 2-е,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- М. : 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нформ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агентство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12.2 Практическое занятие: Биологическая роль щелочных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щелочно-земельных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металлов в живых организмах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консультации по подготовке к СРС,  консультация по письменным работам, тестам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 Практическое занятие: Структурная организация наследственного материала.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365-379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299-404 (том 1)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-171-198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СРСП: консультации по подготовке к СРС,  консультация по письменным р</w:t>
            </w:r>
            <w:r>
              <w:rPr>
                <w:rFonts w:ascii="Times New Roman" w:eastAsia="Times New Roman" w:hAnsi="Times New Roman" w:cs="Times New Roman"/>
              </w:rPr>
              <w:t xml:space="preserve">аботам, тестам 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13.2 Практическое занятие: Биологическая 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амфотерных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металлов, тяжелых металлов и неметаллов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 w:rsidRPr="007B1937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>
              <w:rPr>
                <w:rFonts w:ascii="Times New Roman" w:eastAsia="Times New Roman" w:hAnsi="Times New Roman" w:cs="Times New Roman"/>
              </w:rPr>
              <w:t xml:space="preserve">:  Асанов,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Основы химии [Текст]: учебник / Н. Асанов,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имя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аль-Фараби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Казахский университет, 2015. - 227 с.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инжир.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.: 223 с. - ISBN 978-601-04-1588-1: 3391,21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Приложение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. 219-222.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 Alagarsamy, V. Textbook of Medicinal Chemistry [Text]: textbook / V. Alagarsamy, MNR College of Pharmacy, Sangareddy. - 3th ed. - New Delhi; Bengaluru; Chennai: CBS, 2016.</w:t>
            </w:r>
          </w:p>
        </w:tc>
        <w:tc>
          <w:tcPr>
            <w:tcW w:w="855" w:type="dxa"/>
            <w:shd w:val="clear" w:color="auto" w:fill="00B0F0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15" w:type="dxa"/>
            <w:gridSpan w:val="12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СРСП: консультации по подготовке к СРС,  консультация по письменным работам, те</w:t>
            </w:r>
            <w:r>
              <w:rPr>
                <w:rFonts w:ascii="Times New Roman" w:eastAsia="Times New Roman" w:hAnsi="Times New Roman" w:cs="Times New Roman"/>
              </w:rPr>
              <w:t xml:space="preserve">стам </w:t>
            </w:r>
          </w:p>
        </w:tc>
        <w:tc>
          <w:tcPr>
            <w:tcW w:w="855" w:type="dxa"/>
            <w:shd w:val="clear" w:color="auto" w:fill="00B0F0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14.1 Практическое занятие: Жизненный цикл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клетки. Митоз.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Политения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Амитоз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Мейоз. Конъюгация хромосом, кроссинговер, редукция числа хромосом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603-613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</w:t>
            </w:r>
            <w:r>
              <w:rPr>
                <w:rFonts w:ascii="Times New Roman" w:eastAsia="Times New Roman" w:hAnsi="Times New Roman" w:cs="Times New Roman"/>
              </w:rPr>
              <w:t xml:space="preserve">ут компьютерных исследований – 2013-страницы 68-99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</w:t>
            </w:r>
            <w:r>
              <w:rPr>
                <w:rFonts w:ascii="Times New Roman" w:eastAsia="Times New Roman" w:hAnsi="Times New Roman" w:cs="Times New Roman"/>
              </w:rPr>
              <w:t xml:space="preserve">)-2013- страницы -1612-1713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том 2)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 Практическое занятие: Клеточные механизмы наследования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49-58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учебник, М.-Ижевск: «Регулярная и хаотическая динамика», Институт компьютерных исследований – 2013-страницы 68-99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F1111"/>
                <w:highlight w:val="white"/>
              </w:rPr>
              <w:t>Дополнительная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: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Bruce Alberts, Dennis Bray Karen Hopkin 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and et all. –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ISBN0815344546 (ISBN13: 9780815344544)-2013- страницы -645-683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СРС: Пленарная конференция, обсуждение результатов конференции, консультация по проведению коллоквиума 2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5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 w:val="restart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15.1 Практическое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тарение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клеток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2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637-667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</w:t>
            </w:r>
            <w:r>
              <w:rPr>
                <w:rFonts w:ascii="Times New Roman" w:eastAsia="Times New Roman" w:hAnsi="Times New Roman" w:cs="Times New Roman"/>
              </w:rPr>
              <w:t>ут компьютерных исследований – 2013-страницы 1713-1739 (том 2)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Default="007B1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15.2 Практическое занятие: Гибель клеток</w:t>
            </w:r>
          </w:p>
        </w:tc>
        <w:tc>
          <w:tcPr>
            <w:tcW w:w="855" w:type="dxa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2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shd w:val="clear" w:color="auto" w:fill="auto"/>
          </w:tcPr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7B193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7B1937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2018-819p.-</w:t>
            </w:r>
            <w:r>
              <w:rPr>
                <w:rFonts w:ascii="Times New Roman" w:eastAsia="Times New Roman" w:hAnsi="Times New Roman" w:cs="Times New Roman"/>
                <w:color w:val="0F1111"/>
                <w:highlight w:val="white"/>
              </w:rPr>
              <w:t>страницы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 xml:space="preserve"> 637-667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0F1111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Б.Албертс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А.Джонсон, Д.Льюис и др., Молекулярная биология клетки [текст] 3-х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учебник, М.-Ижевск: «Регулярная и хаотическая динамика», Институт компьютерных исследований – 2013-страницы 1713-1739 (том 2)</w:t>
            </w:r>
          </w:p>
        </w:tc>
        <w:tc>
          <w:tcPr>
            <w:tcW w:w="855" w:type="dxa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vMerge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СРСП: консультация по письменным работам, </w:t>
            </w:r>
            <w:r>
              <w:rPr>
                <w:rFonts w:ascii="Times New Roman" w:eastAsia="Times New Roman" w:hAnsi="Times New Roman" w:cs="Times New Roman"/>
              </w:rPr>
              <w:t>тестам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консультация по подготовке к итоговому экзамену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4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215" w:type="dxa"/>
            <w:gridSpan w:val="4"/>
            <w:shd w:val="clear" w:color="auto" w:fill="auto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80000"/>
              </w:rPr>
            </w:pPr>
          </w:p>
        </w:tc>
        <w:tc>
          <w:tcPr>
            <w:tcW w:w="8415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Коллоквиум 4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</w:t>
            </w:r>
          </w:p>
        </w:tc>
      </w:tr>
      <w:tr w:rsidR="004F5DBC">
        <w:trPr>
          <w:cantSplit/>
          <w:trHeight w:val="60"/>
          <w:tblHeader/>
        </w:trPr>
        <w:tc>
          <w:tcPr>
            <w:tcW w:w="10485" w:type="dxa"/>
            <w:gridSpan w:val="17"/>
            <w:shd w:val="clear" w:color="auto" w:fill="70AD47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Рубежный контроль 2</w:t>
            </w:r>
          </w:p>
        </w:tc>
      </w:tr>
      <w:tr w:rsidR="004F5DBC">
        <w:trPr>
          <w:cantSplit/>
          <w:tblHeader/>
        </w:trPr>
        <w:tc>
          <w:tcPr>
            <w:tcW w:w="675" w:type="dxa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9810" w:type="dxa"/>
            <w:gridSpan w:val="16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(CBL)- индивидуальные, групповые, потоковые; интегрированные, проектный метод (индивидуальные, групповые), работа дискуссия,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TeamBasedLearning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(TBL), конференции, решение типовых/ситуационных задач. </w:t>
            </w:r>
            <w:proofErr w:type="gramEnd"/>
          </w:p>
        </w:tc>
      </w:tr>
      <w:tr w:rsidR="004F5DBC">
        <w:trPr>
          <w:cantSplit/>
          <w:trHeight w:val="150"/>
          <w:tblHeader/>
        </w:trPr>
        <w:tc>
          <w:tcPr>
            <w:tcW w:w="67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0" w:type="dxa"/>
            <w:gridSpan w:val="1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викторина, тест, интерактивный тест, тест на самооценку, блиц-опрос, взаимное оценивание/ комментирование. 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67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0" w:type="dxa"/>
            <w:gridSpan w:val="1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Методы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оценивания: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Письменный контроль (краткое эссе)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текущий / промежуточный / итоговый контроль: результаты обучения № 1-3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Интервью / устный тес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- текущий / промежуточный / итоговый контроль: результаты обучения № 1-4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(открытые и закрытые вопросы) с ситуационными заданиями текущий контроль: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зультаты обучения № 1-3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Групповое решение проблем (кейсы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- текущий контроль: результаты обучения № 2-4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Прямое наблюдение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текущий контроль / СРС: результаты обучения № 3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705" w:type="dxa"/>
            <w:gridSpan w:val="15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оценивание 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  <w:gridSpan w:val="6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505" w:type="dxa"/>
            <w:gridSpan w:val="5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5" w:type="dxa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430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оценивается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 w:val="restart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(текущий контроль)</w:t>
            </w:r>
          </w:p>
          <w:p w:rsidR="004F5DBC" w:rsidRDefault="007B19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  <w:p w:rsidR="004F5DBC" w:rsidRDefault="007B19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4F5DBC" w:rsidRDefault="007B19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задания</w:t>
            </w:r>
          </w:p>
          <w:p w:rsidR="004F5DBC" w:rsidRDefault="007B19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</w:t>
            </w:r>
          </w:p>
          <w:p w:rsidR="004F5DBC" w:rsidRDefault="007B19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типовых/ситуационных задач (химия)</w:t>
            </w: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за занятие биология)</w:t>
            </w:r>
            <w:proofErr w:type="gramEnd"/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балла за занятие (химия)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 от РК (100 %)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 недель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42балла)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расписанию на 6-ой неделе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баллов 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 от РК (100%)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Коллоквиум 1,2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контроль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расписанию, на 4-ой и  7-ой неделе 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баллов (биология)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балла (химия)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от РК (100%)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7-ая неделя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баллов,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накопительный</w:t>
            </w:r>
            <w:proofErr w:type="gramEnd"/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 от итоговой оценки за дисциплину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 w:val="restart"/>
            <w:tcBorders>
              <w:top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5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 (текущий контроль)</w:t>
            </w:r>
          </w:p>
          <w:p w:rsidR="004F5DBC" w:rsidRDefault="007B19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Письменный контроль</w:t>
            </w:r>
          </w:p>
          <w:p w:rsidR="004F5DBC" w:rsidRDefault="007B19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4F5DBC" w:rsidRDefault="007B19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Индивидуальные/Групповые задания</w:t>
            </w:r>
          </w:p>
          <w:p w:rsidR="004F5DBC" w:rsidRDefault="007B19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  <w:p w:rsidR="004F5DBC" w:rsidRDefault="007B19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типовых/ситуационных задач (химия)</w:t>
            </w: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балла за занятие биология)</w:t>
            </w:r>
            <w:proofErr w:type="gramEnd"/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балла за занятие (химия)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 от РК (100 %)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 недель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баллов=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48баллов)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tcBorders>
              <w:top w:val="single" w:sz="4" w:space="0" w:color="000000"/>
            </w:tcBorders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расписанию на 14-й неделе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 от РК (100%)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tcBorders>
              <w:top w:val="single" w:sz="4" w:space="0" w:color="000000"/>
            </w:tcBorders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Коллоквиум 3,4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расписанию, на 11-ой и  15-й неделе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баллов (биология)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баллов (химия)</w:t>
            </w: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46% от РК (100%)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vMerge/>
            <w:tcBorders>
              <w:top w:val="single" w:sz="4" w:space="0" w:color="000000"/>
            </w:tcBorders>
            <w:shd w:val="clear" w:color="auto" w:fill="DEEBF6"/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15-ая неделя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баллов,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накопительный</w:t>
            </w:r>
            <w:proofErr w:type="gramEnd"/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 от итоговой оценки за дисциплину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6"/>
            <w:tcBorders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 сессии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баллов: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left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40 % от итоговой оценки</w:t>
            </w:r>
          </w:p>
        </w:tc>
      </w:tr>
      <w:tr w:rsidR="004F5DBC">
        <w:trPr>
          <w:cantSplit/>
          <w:tblHeader/>
        </w:trPr>
        <w:tc>
          <w:tcPr>
            <w:tcW w:w="780" w:type="dxa"/>
            <w:gridSpan w:val="2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9705" w:type="dxa"/>
            <w:gridSpan w:val="15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5DBC">
        <w:trPr>
          <w:cantSplit/>
          <w:trHeight w:val="151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Оценка по буквенной системе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Цифровой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эквивалент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Баллы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(% содержание)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Описание оценки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95-100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Отлично.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Превосходит самые высокие стандарты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А-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3,67 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90-94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Отлично.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 самым высоким стандартам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В+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3,33 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85-89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Хорошо.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Очень хорошо. Соответствует высоким стандартам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80-84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Хорошо.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 большинству стандартов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В-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2,67 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75-79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Хорошо.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Более чем достаточно. Показывает некоторое разумное владение материалом.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С+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2,33 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70-74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Хорошо.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Приемлемо.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Соответствует основным стандартам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65-69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Удовлетворительно.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Приемлемо. Соответствует некоторым основным стандартам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С-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1,67 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60-64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Удовлетворительно.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Приемлемо. Соответствует некоторым основным стандартам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D+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1,33 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55-59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Удовлетворительно.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 приемлемо.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50-54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Удовлетворительно.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 приемлемо. Самый низкий уровень знаний и выполнения задания.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FX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25-49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Неудовлетворительно.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 приемлемо.</w:t>
            </w:r>
          </w:p>
        </w:tc>
      </w:tr>
      <w:tr w:rsidR="004F5DBC">
        <w:trPr>
          <w:cantSplit/>
          <w:trHeight w:val="150"/>
          <w:tblHeader/>
        </w:trPr>
        <w:tc>
          <w:tcPr>
            <w:tcW w:w="1725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 </w:t>
            </w:r>
          </w:p>
        </w:tc>
        <w:tc>
          <w:tcPr>
            <w:tcW w:w="1545" w:type="dxa"/>
            <w:gridSpan w:val="4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995" w:type="dxa"/>
            <w:gridSpan w:val="3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0-24 </w:t>
            </w:r>
          </w:p>
        </w:tc>
        <w:tc>
          <w:tcPr>
            <w:tcW w:w="5220" w:type="dxa"/>
            <w:gridSpan w:val="5"/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Неудовлетворительно.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Очень низкая продуктивность.</w:t>
            </w:r>
          </w:p>
        </w:tc>
      </w:tr>
      <w:tr w:rsidR="004F5DBC">
        <w:trPr>
          <w:cantSplit/>
          <w:tblHeader/>
        </w:trPr>
        <w:tc>
          <w:tcPr>
            <w:tcW w:w="675" w:type="dxa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9810" w:type="dxa"/>
            <w:gridSpan w:val="1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Учебные ресурсы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4F5DBC" w:rsidRPr="007B1937">
        <w:trPr>
          <w:cantSplit/>
          <w:trHeight w:val="72"/>
          <w:tblHeader/>
        </w:trPr>
        <w:tc>
          <w:tcPr>
            <w:tcW w:w="1830" w:type="dxa"/>
            <w:gridSpan w:val="6"/>
            <w:vMerge w:val="restart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5" w:type="dxa"/>
            <w:gridSpan w:val="11"/>
          </w:tcPr>
          <w:p w:rsidR="004F5DBC" w:rsidRDefault="004F5D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Основная</w:t>
            </w:r>
          </w:p>
          <w:p w:rsidR="004F5DBC" w:rsidRDefault="007B19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Н. Н.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Молекулярная биология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особие / Н.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Мушкамбаров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изд. 2-е,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 М. :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агентство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  <w:p w:rsidR="004F5DBC" w:rsidRDefault="007B19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  <w:tab w:val="left" w:pos="73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Э. К. Артемова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Основы общей и биоорганической химии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особие / Э. К. Артемова, Е. В. Дмитриев. -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2011. - 245 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-2011</w:t>
            </w:r>
          </w:p>
          <w:p w:rsidR="004F5DBC" w:rsidRDefault="007B19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  <w:tab w:val="left" w:pos="73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Медицинская и клиническая биохимия [Текст]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 / С.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Тапбергенов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 [4-е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изд., доп.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.].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Book.-2018</w:t>
            </w:r>
          </w:p>
          <w:p w:rsidR="004F5DBC" w:rsidRPr="007B1937" w:rsidRDefault="007B19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0"/>
                <w:tab w:val="left" w:pos="7395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color w:val="0F1111"/>
                <w:highlight w:val="white"/>
                <w:lang w:val="en-US"/>
              </w:rPr>
              <w:t>Cooper M. Geofrey The Cell: A Molecular Approach // 8-th edition – Oxfod Press, 2018-819p.</w:t>
            </w:r>
          </w:p>
        </w:tc>
      </w:tr>
      <w:tr w:rsidR="004F5DBC">
        <w:trPr>
          <w:cantSplit/>
          <w:trHeight w:val="72"/>
          <w:tblHeader/>
        </w:trPr>
        <w:tc>
          <w:tcPr>
            <w:tcW w:w="1830" w:type="dxa"/>
            <w:gridSpan w:val="6"/>
            <w:vMerge/>
          </w:tcPr>
          <w:p w:rsidR="004F5DBC" w:rsidRPr="007B1937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55" w:type="dxa"/>
            <w:gridSpan w:val="11"/>
          </w:tcPr>
          <w:p w:rsidR="004F5DBC" w:rsidRPr="007B1937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Дополнительная</w:t>
            </w:r>
          </w:p>
          <w:p w:rsidR="004F5DBC" w:rsidRDefault="007B19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  <w:tab w:val="left" w:pos="71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Койчубеков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соавт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медицинской и биологической физики [Текст]: учебник,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ССК, 2017. - 291 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Таблица.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-2017</w:t>
            </w:r>
          </w:p>
          <w:p w:rsidR="004F5DBC" w:rsidRDefault="007B19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  <w:tab w:val="left" w:pos="71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Ремизов, А. Н.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Медицинская и биологическая физика [Текст] : [учеб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ля мед. спец. вузов] / А. Н. Ремизов. -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Дрофа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  <w:p w:rsidR="004F5DBC" w:rsidRDefault="007B19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0"/>
                <w:tab w:val="left" w:pos="70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Bruce Alberts, Dennis Bray Karen Hopkin and et all. –</w:t>
            </w:r>
            <w:r w:rsidRPr="007B1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  <w:t xml:space="preserve">Essential Cell Biology, 4th Edition [text]: textbook.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Garland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2013 - 865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ISBN0815344546 (ISBN13: 9780815344544)-2013</w:t>
            </w:r>
          </w:p>
          <w:p w:rsidR="004F5DBC" w:rsidRDefault="007B19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0"/>
                <w:tab w:val="left" w:pos="70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lang w:val="en-US"/>
              </w:rPr>
              <w:t xml:space="preserve">Ebbing D., Gammon S. D. </w:t>
            </w:r>
            <w:r w:rsidRPr="007B1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</w:r>
            <w:r w:rsidRPr="007B19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lang w:val="en-US"/>
              </w:rPr>
              <w:t>General chemistry. – Cengage Learning.</w:t>
            </w:r>
            <w:r w:rsidRPr="007B1937"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  <w:lang w:val="en-US"/>
              </w:rPr>
              <w:t xml:space="preserve">1th edition (January 1, 2016), - English.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Hardcover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‏</w:t>
            </w:r>
            <w:proofErr w:type="gram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‎ 1152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pages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. ISBN-10: ‎ 1305580346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-2016</w:t>
            </w:r>
          </w:p>
          <w:p w:rsidR="004F5DBC" w:rsidRDefault="007B19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0"/>
                <w:tab w:val="left" w:pos="7095"/>
              </w:tabs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lang w:val="en-US"/>
              </w:rPr>
              <w:t xml:space="preserve">Hein M., Pattison S., Arena S.,  Best L. R. </w:t>
            </w:r>
            <w:r w:rsidRPr="007B193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lang w:val="en-US"/>
              </w:rPr>
              <w:tab/>
              <w:t xml:space="preserve">Introduction to general, organic, and biochemistry.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Publisher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‏</w:t>
            </w:r>
            <w:proofErr w:type="gram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‎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Wiley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; 1</w:t>
            </w:r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1th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January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 xml:space="preserve"> 15, 2014), ‎ 1072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pages</w:t>
            </w:r>
            <w:proofErr w:type="spellEnd"/>
            <w:r>
              <w:rPr>
                <w:rFonts w:ascii="Times New Roman" w:eastAsia="Times New Roman" w:hAnsi="Times New Roman" w:cs="Times New Roman"/>
                <w:color w:val="0F1111"/>
                <w:sz w:val="20"/>
                <w:szCs w:val="20"/>
                <w:highlight w:val="white"/>
              </w:rPr>
              <w:t>. ISBN-10: ‎ 111841389X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2013 </w:t>
            </w:r>
          </w:p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5DBC">
        <w:trPr>
          <w:cantSplit/>
          <w:tblHeader/>
        </w:trPr>
        <w:tc>
          <w:tcPr>
            <w:tcW w:w="1830" w:type="dxa"/>
            <w:gridSpan w:val="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Электронные ресурсы 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включая, помимо прочего: электронный каталог библиотеки, базы научной литературы, базы данных, анимацию, моделирование, профессиональные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блоги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веб-сайты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другие электронные справочные материалы (например, видео-, аудио-, дайджесты)</w:t>
            </w:r>
            <w:proofErr w:type="gramEnd"/>
          </w:p>
        </w:tc>
        <w:tc>
          <w:tcPr>
            <w:tcW w:w="8655" w:type="dxa"/>
            <w:gridSpan w:val="11"/>
          </w:tcPr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OMIM® Online Mendeli</w:t>
            </w: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 Inheritance in Man® An Online Catalog of Human Genes and Genetic Disorders https://www.omim.org/  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Cell Biology courses https://ru.khanacademy.org/  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Biology Articles org/ www.biologyonline.com    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Molecular Biology Courses https://www.ed</w:t>
            </w: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x.org/learn/molecular-biology 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5. BMC Molecular Biology https://bmcmolbiol.biomedcentral.com/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6. Journal of Molecular Biology https://www.journals.elsevier.com/journal-of-molecular-biology  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7. Cell Biology: Introduction – Genetics | </w:t>
            </w:r>
            <w:proofErr w:type="gramStart"/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Lect .</w:t>
            </w:r>
            <w:proofErr w:type="gramEnd"/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https://www.youtube.com/watch?v=bYpPMzzyZZ4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8. Electron transport chain https://www.youtube.com/watch?v=LQmTKxI4Wn4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9. Introduction to Apoptosis - Caspase Enzymes Part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 https://www.youtube.com/watch</w:t>
            </w: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?v=MMec_q806kc 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11. Introduction to Apoptosis - Caspase Enzymes Part 2 https://www.youtube.com/watch?v=5cXjDFm0Wf8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12. PheT Chemistry Interactive Simulations </w:t>
            </w:r>
            <w:hyperlink r:id="rId13"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https://phet.colorado.edu/en/simulations/filter?subjects=chemistry&amp;type=html,prototype</w:t>
              </w:r>
            </w:hyperlink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13. </w:t>
            </w:r>
            <w:r w:rsidRPr="007B193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7FBFF"/>
                <w:lang w:val="en-US"/>
              </w:rPr>
              <w:t xml:space="preserve">Search substance, compound or bioassay databases to find chemical information: </w:t>
            </w:r>
            <w:hyperlink r:id="rId14"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https://pubchem.ncbi.nlm.ni</w:t>
              </w:r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h.gov/</w:t>
              </w:r>
            </w:hyperlink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14. Khan Academy </w:t>
            </w:r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Chemistry library: </w:t>
            </w:r>
            <w:hyperlink r:id="rId15"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  <w:lang w:val="en-US"/>
                </w:rPr>
                <w:t>https://www.khanacademy.org/science/chemistry</w:t>
              </w:r>
            </w:hyperlink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15. Free Science Simulations </w:t>
            </w: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LabXchange</w:t>
            </w:r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: </w:t>
            </w:r>
            <w:hyperlink r:id="rId16"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  <w:lang w:val="en-US"/>
                </w:rPr>
                <w:t>https://www.labxchange.org/</w:t>
              </w:r>
            </w:hyperlink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4F5DBC" w:rsidRPr="007B1937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16. </w:t>
            </w: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VIRTUAL LAB: </w:t>
            </w:r>
            <w:hyperlink r:id="rId17">
              <w:r w:rsidRPr="007B193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  <w:lang w:val="en-US"/>
                </w:rPr>
                <w:t>https://chemcollective.org/vlab/vlab.php</w:t>
              </w:r>
            </w:hyperlink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 Ссылка на литературу</w:t>
            </w:r>
          </w:p>
          <w:p w:rsidR="004F5DBC" w:rsidRDefault="007B1937">
            <w:pPr>
              <w:numPr>
                <w:ilvl w:val="0"/>
                <w:numId w:val="1"/>
              </w:numPr>
              <w:ind w:left="28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биология: 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https://classroom.google.com/c/NTQ1NjY4OTc4OTUy/m/NTQ1NjY4MjUwNzI0/details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5DBC" w:rsidRDefault="007B193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химия: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https://classroom.google.com/c/MTY0Mjk3NjczMTI5/m/NDIxMjkwNzY3NDQz/details</w:t>
              </w:r>
            </w:hyperlink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–в свободном доступе.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 Kahoot Quiz</w:t>
            </w:r>
          </w:p>
          <w:p w:rsidR="004F5DBC" w:rsidRPr="007B1937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 PheT Interactive Simulations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9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21. </w:t>
            </w:r>
            <w:r w:rsidRPr="007B1937">
              <w:rPr>
                <w:rFonts w:ascii="Times New Roman" w:eastAsia="Times New Roman" w:hAnsi="Times New Roman" w:cs="Times New Roman"/>
                <w:color w:val="21242C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LabXchange</w:t>
            </w:r>
            <w:proofErr w:type="spellEnd"/>
          </w:p>
        </w:tc>
      </w:tr>
      <w:tr w:rsidR="004F5DBC">
        <w:trPr>
          <w:cantSplit/>
          <w:tblHeader/>
        </w:trPr>
        <w:tc>
          <w:tcPr>
            <w:tcW w:w="1830" w:type="dxa"/>
            <w:gridSpan w:val="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Лабораторные физические ресурсы</w:t>
            </w:r>
          </w:p>
        </w:tc>
        <w:tc>
          <w:tcPr>
            <w:tcW w:w="8655" w:type="dxa"/>
            <w:gridSpan w:val="11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5DBC">
        <w:trPr>
          <w:cantSplit/>
          <w:tblHeader/>
        </w:trPr>
        <w:tc>
          <w:tcPr>
            <w:tcW w:w="1830" w:type="dxa"/>
            <w:gridSpan w:val="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Специальное программное обеспечение </w:t>
            </w:r>
          </w:p>
        </w:tc>
        <w:tc>
          <w:tcPr>
            <w:tcW w:w="8655" w:type="dxa"/>
            <w:gridSpan w:val="11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tcBorders>
              <w:bottom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9375" w:type="dxa"/>
            <w:gridSpan w:val="14"/>
            <w:tcBorders>
              <w:bottom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Ожидания преподавателя 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4F5DBC">
        <w:trPr>
          <w:cantSplit/>
          <w:trHeight w:val="3572"/>
          <w:tblHeader/>
        </w:trPr>
        <w:tc>
          <w:tcPr>
            <w:tcW w:w="104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Студент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посещает все занятия и лекции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активно участвует в аудиторных занятиях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оценивании, в групповой работе, 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выполняет задания в срок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проявляет уважение к преподавателям, сотрудникам университета и студентам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бережно обращается с имуществом ВШМ (муляжи, парты, стулья и т.д.)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соблюдает чистоту и порядок в кампусе и аудиториях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использует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гаджеты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занятиях только с разрешения преподавателя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всем вопросам в рамках дисциплины обращается к преподавателю данной дисциплины, по общим академическим вопросам – к своему куратору</w:t>
            </w:r>
          </w:p>
          <w:p w:rsidR="004F5DBC" w:rsidRDefault="007B19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переписку осуществляет только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одобренный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преподавателем, в регламентированное преподавателем время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tcBorders>
              <w:top w:val="single" w:sz="4" w:space="0" w:color="000000"/>
            </w:tcBorders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937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Политика дисциплины определяется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Академической политикой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Университета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Политикой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академической честности Университета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Если ссылки не будут открываться, то актуальные документы, Вы можете найти в ИС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 обязан посещать занятия в белом халате</w:t>
            </w:r>
          </w:p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Поведение обучающегося на экзаменах регламентируют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(актуальные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документызагружены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обновляются перед началом сессии);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«Положение о проверке текстовых документов обучающихся на наличие заимствований»</w:t>
              </w:r>
            </w:hyperlink>
            <w:r>
              <w:t xml:space="preserve">, 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КОДЕКС ЧЕСТИ студента ВШМ</w:t>
              </w:r>
            </w:hyperlink>
            <w:r>
              <w:t xml:space="preserve"> </w:t>
            </w:r>
            <w:hyperlink r:id="rId26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англ</w:t>
              </w:r>
              <w:proofErr w:type="spellEnd"/>
              <w:proofErr w:type="gramEnd"/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рус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5" w:type="dxa"/>
            <w:gridSpan w:val="14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инклюзивности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обучения.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9375" w:type="dxa"/>
            <w:gridSpan w:val="14"/>
            <w:shd w:val="clear" w:color="auto" w:fill="auto"/>
          </w:tcPr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Постоянно готовится к занятиям: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Например, подкрепляет утверждения соответствующими ссылками, делает краткие резюме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Демонстрирует навыки эффективного обучения, помогает в обучении другим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Принимать ответственность за свое обучение: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Например, управляет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своим планом обучения, активно пытается совершенствоваться, критически оценивает информационные ресурсы 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Активно участвовать в обучении группы: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Например, активно участвует в обсуждении, охотно берет задания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Демонстрировать эффективные групповые навык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   </w:t>
            </w:r>
          </w:p>
          <w:p w:rsidR="004F5DBC" w:rsidRDefault="007B193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Искусное владение коммуникации с ровесниками: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Например, активно слушает,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восприимчив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невербальным и эмоциональным сигналам  </w:t>
            </w:r>
          </w:p>
          <w:p w:rsidR="004F5DBC" w:rsidRDefault="007B193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Уважительное отношение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Высоко развитые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профессиональные навыки: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Стремится к выполнению заданий, ищет возможности для большего обучения,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уверенный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квалифицированный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ение этики и деонтологии в отношении пациентов и медперсонала</w:t>
            </w:r>
          </w:p>
          <w:p w:rsidR="004F5DBC" w:rsidRDefault="007B193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Соблюдение субординации.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 Высокий самоанализ: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Высоко развитое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критическое мышлен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ие: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9. Полностью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соблюдает правила академического поведения с пониманием, предлагает улучшения с целью повышения эффективности.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Соблюдает этику общения – как устную, так и письменную (в чатах и обращениях)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10. Полностью соблюдает правила с полным их пониманием, побуждает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других членов группы придерживаться правил </w:t>
            </w:r>
          </w:p>
          <w:p w:rsidR="004F5DBC" w:rsidRDefault="007B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Строго соблюдает принципы врачебной этики и PRIMUM NON NOCER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9375" w:type="dxa"/>
            <w:gridSpan w:val="14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Дистанционное/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обучение – запрещено по медицине</w:t>
            </w:r>
          </w:p>
        </w:tc>
      </w:tr>
      <w:tr w:rsidR="004F5DBC">
        <w:trPr>
          <w:cantSplit/>
          <w:tblHeader/>
        </w:trPr>
        <w:tc>
          <w:tcPr>
            <w:tcW w:w="10485" w:type="dxa"/>
            <w:gridSpan w:val="17"/>
            <w:shd w:val="clear" w:color="auto" w:fill="auto"/>
          </w:tcPr>
          <w:p w:rsidR="004F5DBC" w:rsidRDefault="007B193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реализуется в Университете в соответствии с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приказом Министра образования и науки Республики Казахстан от 20 марта 2015 года № 137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требований к организациям образования по предоставлению дистанционного обучения и правил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учебного процесса по дистанционному обучению и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программам высшего и (или) послевузовского образования»;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Правилам организации обучения с применением ДОТ в Университете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Инструкции для проведения 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гового контроля осеннего/весеннего семестра текущего учебного года (актуальный документ – в ИС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»);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«Положению о проверке текстовых документов обучающихся на наличие заимствований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5DBC">
        <w:trPr>
          <w:cantSplit/>
          <w:tblHeader/>
        </w:trPr>
        <w:tc>
          <w:tcPr>
            <w:tcW w:w="1110" w:type="dxa"/>
            <w:gridSpan w:val="3"/>
            <w:shd w:val="clear" w:color="auto" w:fill="DEEBF6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16.</w:t>
            </w:r>
          </w:p>
        </w:tc>
        <w:tc>
          <w:tcPr>
            <w:tcW w:w="9375" w:type="dxa"/>
            <w:gridSpan w:val="14"/>
            <w:shd w:val="clear" w:color="auto" w:fill="E2EFD9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Утверждение и рассмотрение</w:t>
            </w:r>
          </w:p>
        </w:tc>
      </w:tr>
      <w:tr w:rsidR="004F5DBC">
        <w:trPr>
          <w:cantSplit/>
          <w:trHeight w:val="173"/>
          <w:tblHeader/>
        </w:trPr>
        <w:tc>
          <w:tcPr>
            <w:tcW w:w="3615" w:type="dxa"/>
            <w:gridSpan w:val="10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Сарсенова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Л.К.</w:t>
            </w:r>
          </w:p>
        </w:tc>
      </w:tr>
      <w:tr w:rsidR="004F5DBC">
        <w:trPr>
          <w:cantSplit/>
          <w:trHeight w:val="173"/>
          <w:tblHeader/>
        </w:trPr>
        <w:tc>
          <w:tcPr>
            <w:tcW w:w="3615" w:type="dxa"/>
            <w:gridSpan w:val="10"/>
            <w:shd w:val="clear" w:color="auto" w:fill="auto"/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Академический комитет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ФМиЗ</w:t>
            </w:r>
            <w:proofErr w:type="spellEnd"/>
          </w:p>
        </w:tc>
        <w:tc>
          <w:tcPr>
            <w:tcW w:w="1650" w:type="dxa"/>
            <w:gridSpan w:val="2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№</w:t>
            </w:r>
          </w:p>
        </w:tc>
        <w:tc>
          <w:tcPr>
            <w:tcW w:w="5220" w:type="dxa"/>
            <w:gridSpan w:val="5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утверждения</w:t>
            </w:r>
          </w:p>
        </w:tc>
      </w:tr>
      <w:tr w:rsidR="004F5DBC">
        <w:trPr>
          <w:cantSplit/>
          <w:trHeight w:val="173"/>
          <w:tblHeader/>
        </w:trPr>
        <w:tc>
          <w:tcPr>
            <w:tcW w:w="3615" w:type="dxa"/>
            <w:gridSpan w:val="10"/>
            <w:shd w:val="clear" w:color="auto" w:fill="auto"/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Академического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ФМиЗ</w:t>
            </w:r>
            <w:proofErr w:type="spellEnd"/>
          </w:p>
        </w:tc>
        <w:tc>
          <w:tcPr>
            <w:tcW w:w="1650" w:type="dxa"/>
            <w:gridSpan w:val="2"/>
            <w:shd w:val="clear" w:color="auto" w:fill="auto"/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:rsidR="004F5DBC" w:rsidRDefault="007B193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Курманова Г.М.</w:t>
            </w:r>
          </w:p>
        </w:tc>
      </w:tr>
    </w:tbl>
    <w:p w:rsidR="004F5DBC" w:rsidRDefault="004F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F5DBC" w:rsidRDefault="004F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F5DBC" w:rsidRDefault="007B1937">
      <w:pPr>
        <w:rPr>
          <w:rFonts w:ascii="Times New Roman" w:eastAsia="Times New Roman" w:hAnsi="Times New Roman" w:cs="Times New Roman"/>
        </w:rPr>
        <w:sectPr w:rsidR="004F5DBC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br w:type="page"/>
      </w:r>
    </w:p>
    <w:p w:rsidR="004F5DBC" w:rsidRDefault="004F5D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5DBC" w:rsidRDefault="007B1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РУБРИКАТОР ОЦЕНИВАНИЯ РЕЗУЛЬТАТОВ ОБУЧЕНИЯ </w:t>
      </w:r>
      <w:r>
        <w:rPr>
          <w:rFonts w:ascii="Times New Roman" w:eastAsia="Times New Roman" w:hAnsi="Times New Roman" w:cs="Times New Roman"/>
        </w:rPr>
        <w:t> </w:t>
      </w:r>
    </w:p>
    <w:p w:rsidR="004F5DBC" w:rsidRDefault="007B19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</w:rPr>
        <w:t>суммативном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оценивании</w:t>
      </w:r>
      <w:r>
        <w:rPr>
          <w:rFonts w:ascii="Times New Roman" w:eastAsia="Times New Roman" w:hAnsi="Times New Roman" w:cs="Times New Roman"/>
        </w:rPr>
        <w:t> </w:t>
      </w:r>
    </w:p>
    <w:p w:rsidR="004F5DBC" w:rsidRDefault="004F5DB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5DBC" w:rsidRDefault="007B1937">
      <w:pPr>
        <w:spacing w:after="28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Балльно-рейтинговая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оценка практических занятий (максимально 100 баллов)</w:t>
      </w:r>
    </w:p>
    <w:tbl>
      <w:tblPr>
        <w:tblStyle w:val="afff8"/>
        <w:tblW w:w="15767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0"/>
        <w:gridCol w:w="1583"/>
        <w:gridCol w:w="2793"/>
        <w:gridCol w:w="2762"/>
        <w:gridCol w:w="2902"/>
        <w:gridCol w:w="2545"/>
        <w:gridCol w:w="2592"/>
      </w:tblGrid>
      <w:tr w:rsidR="004F5DBC">
        <w:trPr>
          <w:cantSplit/>
          <w:trHeight w:val="218"/>
          <w:tblHeader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4F5DBC" w:rsidRDefault="004F5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Критерии</w:t>
            </w:r>
          </w:p>
          <w:p w:rsidR="004F5DBC" w:rsidRDefault="007B1937">
            <w:pPr>
              <w:ind w:right="3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(оценивается по бальной системе)</w:t>
            </w:r>
          </w:p>
        </w:tc>
        <w:tc>
          <w:tcPr>
            <w:tcW w:w="1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Шкала, баллы</w:t>
            </w:r>
          </w:p>
        </w:tc>
      </w:tr>
      <w:tr w:rsidR="004F5DBC">
        <w:trPr>
          <w:cantSplit/>
          <w:trHeight w:val="218"/>
          <w:tblHeader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90 - 100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70 - 89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50 - 69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25 - 49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0-24</w:t>
            </w:r>
          </w:p>
        </w:tc>
      </w:tr>
      <w:tr w:rsidR="004F5DBC">
        <w:trPr>
          <w:cantSplit/>
          <w:trHeight w:val="218"/>
          <w:tblHeader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(FX)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(F)</w:t>
            </w:r>
          </w:p>
        </w:tc>
      </w:tr>
      <w:tr w:rsidR="004F5DBC">
        <w:trPr>
          <w:cantSplit/>
          <w:trHeight w:val="218"/>
          <w:tblHeader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DBC" w:rsidRDefault="007B1937">
            <w:pPr>
              <w:widowControl w:val="0"/>
              <w:ind w:left="141" w:right="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4F5DBC">
        <w:trPr>
          <w:cantSplit/>
          <w:trHeight w:val="22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DBC" w:rsidRDefault="004F5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все ключевые аспекты включены и представлены логически;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высокая точность (актуальность, без избыточности) и постоянное внимание к вопросу;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отличная интеграция теоретических вопросов;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предоставление соответствующих примеров;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углубленный анализ и теоретическое обоснование данной проблемы (если применимо), все ключевые аспекты определены и интерпретированы;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свободное владение професс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иональной терминологией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все ключевые аспекты включены и представлены логически;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постоянное сосредоточение на вопросе с удовлетворительной точностью, актуальностью и / или некоторой избыточностью;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удовлетворительная интеграция теоретических вопросо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примеров;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удовлетворительный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  <w:proofErr w:type="gramEnd"/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правильное использование профессиональной терминологии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большинство ключ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евых аспектов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удовлетворительная концентрация внимания на вопросе - некоторые ошибки и / или заметная избыточность;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теоретические проблемы, представленные без заметной интеграции;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предоставление неудачных примеров или без примеров;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 анализ и теоретическое обоснование данной проблемы (если применимо), большинство ключевых аспектов определены и интерпретированы;</w:t>
            </w:r>
            <w:proofErr w:type="gramEnd"/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правильное использование профессиональной терминологии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пропущено большинство ключевых аспектов;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недостаток 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имания к вопросу - не актуальность и значительная избыточность;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некоторые теоретические проблемы, представленные в некотором роде;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или неактуальные примеры;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некоторый анализ и теоретическое обоснование данной проблемы (если применимо), пропущено большинство ключевых аспектов;</w:t>
            </w:r>
          </w:p>
          <w:p w:rsidR="004F5DBC" w:rsidRDefault="007B1937">
            <w:pPr>
              <w:widowControl w:val="0"/>
              <w:ind w:left="141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упущения в использовании профессиональной терминологии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пропущено большинство ключевых аспектов;</w:t>
            </w:r>
          </w:p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недостаток внимания к вопросу - не актуальность и значительная избыточность;</w:t>
            </w:r>
          </w:p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некоторые теоретические проблемы, представленные в некотором роде;</w:t>
            </w:r>
          </w:p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или неактуальные примеры;</w:t>
            </w:r>
          </w:p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некоторый анализ и теоретическое обоснование данной проблемы (е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сли применимо), пропущено большинство ключевых аспектов;</w:t>
            </w:r>
          </w:p>
          <w:p w:rsidR="004F5DBC" w:rsidRDefault="007B1937">
            <w:pPr>
              <w:widowControl w:val="0"/>
              <w:ind w:left="14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упущения в использовании профессиональной терминологии</w:t>
            </w:r>
          </w:p>
          <w:p w:rsidR="004F5DBC" w:rsidRDefault="004F5D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F5DBC" w:rsidRDefault="004F5DBC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5DBC" w:rsidRDefault="007B19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Style w:val="afff9"/>
        <w:tblW w:w="1456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2"/>
        <w:gridCol w:w="2169"/>
        <w:gridCol w:w="3195"/>
        <w:gridCol w:w="2809"/>
        <w:gridCol w:w="2809"/>
        <w:gridCol w:w="2806"/>
      </w:tblGrid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Сосредоточенность на проблеме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Организованный, сосредоточенный, выделяет все относящиеся к основной выявленной проб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леме вопросы, но нет понимания  конкретной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Несосредоточенный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упускает главное, несоответствующие данные.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Информативность, эффективность презентации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выбрана форма продукта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Вся необходимая информация по теме изл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ожена хаотично, с негрубыми ошибками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отражена важная информация по теме, грубые ошибки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Достоверность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выбран на основании достоверно установленных фактов. 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понимания по уровню или качеству доказательств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Некоторые выводы и заключен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Выводы и заключения не обоснованы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неправильный</w:t>
            </w:r>
            <w:proofErr w:type="gramEnd"/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Логичность и последовательность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логично и после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внутреннее единство, положения продукта вытекает один из другого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есть неточности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последовательности и логичности в излож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ении, но удается отследить основную идею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Перескакивает с одного на другое, трудно уловить основную идею 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литературы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ресурсов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Непоследовательность и хаотичность в изложении данных, противоречивость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знаний по основному учебнику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Практическая значимость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Значимо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достаточно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приемлемо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Применимость в будущей практике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Высокая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Применимо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достаточно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приемлемо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Наглядность презентации, качество доклада (оценка докладчика)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Корректно, к месту использованы все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е-гаджетов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свободное  владение материалом, уверенная манера изложения  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Перегружена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недостаточно используются наглядные материалы,  неполное владение материалом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Наглядные материа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 не информативны не уверенно докладывает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владеет материалом, не умеет его изложить </w:t>
            </w: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язык/ русский/казахский язык*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+ 10-20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зависимости от качества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подготовлен на английском, сдан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+ 5-10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зависимости от качества (или наоборот)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подготовке продукта использованы англоязычные источники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+ 2-5 баллов в зависимости от качества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5DBC">
        <w:trPr>
          <w:cantSplit/>
          <w:trHeight w:val="427"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бонус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Тайм-менеджмент**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сдан раньше срока 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набавляется 10 баллов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сдан вовремя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баллы не набавляются</w:t>
            </w:r>
          </w:p>
          <w:p w:rsidR="004F5DBC" w:rsidRDefault="004F5D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Отсрочка сдачи, не влияющая на качество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Минус 2 балла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опозданием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Минус 10 баллов</w:t>
            </w:r>
          </w:p>
        </w:tc>
      </w:tr>
      <w:tr w:rsidR="004F5DBC">
        <w:trPr>
          <w:cantSplit/>
          <w:trHeight w:val="427"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бонус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Рейтинг*** </w:t>
            </w:r>
          </w:p>
          <w:p w:rsidR="004F5DBC" w:rsidRDefault="004F5DB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F5DBC" w:rsidRDefault="004F5DB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Дополнительные баллы (до 10 баллов)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Выдающаяся работа, например: 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Лучшая работа в группе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подход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Инновационный подход к выполнению задания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предложению группы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F5DBC">
        <w:trPr>
          <w:cantSplit/>
          <w:tblHeader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4F5D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-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/рус групп – английский язык; для групп, обучающихся на английском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задания на русском или казахском языке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*Срок -  определяется преподавателем, как правило – день рубежного контроля</w:t>
            </w:r>
          </w:p>
          <w:p w:rsidR="004F5DBC" w:rsidRDefault="007B193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выше ожидаемого</w:t>
            </w:r>
          </w:p>
        </w:tc>
      </w:tr>
    </w:tbl>
    <w:p w:rsidR="004F5DBC" w:rsidRDefault="004F5D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5DBC" w:rsidRDefault="004F5D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5DBC" w:rsidRDefault="007B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Чеклист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для самооценки эффективности команды </w:t>
      </w:r>
    </w:p>
    <w:tbl>
      <w:tblPr>
        <w:tblStyle w:val="afffa"/>
        <w:tblW w:w="14296" w:type="dxa"/>
        <w:tblInd w:w="-100" w:type="dxa"/>
        <w:tblLayout w:type="fixed"/>
        <w:tblLook w:val="0400"/>
      </w:tblPr>
      <w:tblGrid>
        <w:gridCol w:w="8179"/>
        <w:gridCol w:w="1843"/>
        <w:gridCol w:w="2126"/>
        <w:gridCol w:w="2148"/>
      </w:tblGrid>
      <w:tr w:rsidR="004F5DBC">
        <w:trPr>
          <w:cantSplit/>
          <w:trHeight w:val="660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Я лично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Группа в целом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Комментарии</w:t>
            </w:r>
          </w:p>
        </w:tc>
      </w:tr>
      <w:tr w:rsidR="004F5DBC">
        <w:trPr>
          <w:cantSplit/>
          <w:trHeight w:val="338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Эффективно проясняете ваши задачи и задания на каждом этапе?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16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Оцениваем ход работы?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22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Проясняем и документируем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что решила группа?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75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Проясняем кто, что и как будет делать?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227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Проясняем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 какому сроку каждое задание должно быть сделано?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227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Устанавливаем правила по управлению встречами?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75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Придерживаемся согласованных правил?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75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Слушаем друг друга?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16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Позволяем некоторым членам команды доминировать?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22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Позволяем некоторым членам команды отказываться/делать самоотвод?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28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Жертвуем личными желаниями ради успеха команды?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75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Признаем чувства других членов команды?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375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Вносим равный вклад в прогресс команды?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4F5DBC">
        <w:trPr>
          <w:cantSplit/>
          <w:trHeight w:val="503"/>
          <w:tblHeader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Придерживаемся согласованных правил по написанию и наименованию файлов?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</w:tbl>
    <w:p w:rsidR="004F5DBC" w:rsidRDefault="004F5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b"/>
        <w:tblW w:w="14730" w:type="dxa"/>
        <w:tblInd w:w="-80" w:type="dxa"/>
        <w:tblLayout w:type="fixed"/>
        <w:tblLook w:val="0400"/>
      </w:tblPr>
      <w:tblGrid>
        <w:gridCol w:w="402"/>
        <w:gridCol w:w="14328"/>
      </w:tblGrid>
      <w:tr w:rsidR="004F5DBC">
        <w:trPr>
          <w:cantSplit/>
          <w:trHeight w:val="400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Критерии оценки студента на практических занятиях при выполнении групповых заданий</w:t>
            </w:r>
          </w:p>
        </w:tc>
      </w:tr>
      <w:tr w:rsidR="004F5DBC">
        <w:trPr>
          <w:cantSplit/>
          <w:trHeight w:val="885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Подготовка к занятиям: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Изучает информацию, сфокусированную на случае и проблемных вопросах, использует различные источники, подкрепляет утверждения соответствующими ссылками</w:t>
            </w:r>
          </w:p>
        </w:tc>
      </w:tr>
      <w:tr w:rsidR="004F5DBC">
        <w:trPr>
          <w:cantSplit/>
          <w:trHeight w:val="857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Групповые навыки  и  профессиональное 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Демонстрирует превосходную посещаемость, надежность,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ответственность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Берет на себя инициативу, активно участвует в обсуждении, помогает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согрупникам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охотно берет задания</w:t>
            </w:r>
          </w:p>
        </w:tc>
      </w:tr>
      <w:tr w:rsidR="004F5DBC">
        <w:trPr>
          <w:cantSplit/>
          <w:trHeight w:val="960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Коммуникативные навыки: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Активно слушает, проявляет эмоции соответственно ситуации,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восприимчив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 невербальным и эмоциональным сигналам,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проявляет уважение и корректность в отношении других, помогает разрешать недоразумения и конфликты </w:t>
            </w:r>
          </w:p>
        </w:tc>
      </w:tr>
      <w:tr w:rsidR="004F5DBC">
        <w:trPr>
          <w:cantSplit/>
          <w:trHeight w:val="956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Навыки предоставления обратной связи: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Демонстрирует высокий уровень самоанализа, критично оценивает себя и коллег, предоставляет конструктивную и объективную обратную связь в доброжелательной манере,  принимает обратную связь без оппозиции</w:t>
            </w:r>
          </w:p>
        </w:tc>
      </w:tr>
      <w:tr w:rsidR="004F5DBC">
        <w:trPr>
          <w:cantSplit/>
          <w:trHeight w:val="1239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5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Навыки критического мышления и эффективного обучени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я: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Эффективно участвует в генерировании гипотез и формулировании проблемных вопросов, приводит уместные примеры из жизни, умело применяет знания к рассматриваемой проблеме/кейсу, критически оценивает информацию, делает заключения, объясняет и обосновывает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утверждения, рисует схемы и рисунки, демонстрирует постоянный интерес к изучаемому материалу</w:t>
            </w:r>
          </w:p>
        </w:tc>
      </w:tr>
      <w:tr w:rsidR="004F5DBC">
        <w:trPr>
          <w:cantSplit/>
          <w:trHeight w:val="847"/>
          <w:tblHeader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100" w:type="dxa"/>
              <w:right w:w="80" w:type="dxa"/>
            </w:tcMar>
          </w:tcPr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Теоретические знания и навыки по теме занятия:</w:t>
            </w:r>
          </w:p>
          <w:p w:rsidR="004F5DBC" w:rsidRDefault="007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 ключевые аспекты представлены логически; точность, релевантность ответов на поставленные вопросы без избыточности; интеграция теоретических вопросов; использование релевантных примеров; правильное использование профессиональной терминологии</w:t>
            </w:r>
          </w:p>
        </w:tc>
      </w:tr>
    </w:tbl>
    <w:p w:rsidR="004F5DBC" w:rsidRDefault="004F5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5DBC" w:rsidSect="004F5DBC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73"/>
    <w:multiLevelType w:val="multilevel"/>
    <w:tmpl w:val="5ABA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2E7"/>
    <w:multiLevelType w:val="multilevel"/>
    <w:tmpl w:val="03648F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DA4D2C"/>
    <w:multiLevelType w:val="multilevel"/>
    <w:tmpl w:val="903E0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1922223"/>
    <w:multiLevelType w:val="multilevel"/>
    <w:tmpl w:val="A822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1EFB"/>
    <w:multiLevelType w:val="multilevel"/>
    <w:tmpl w:val="842051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D1C49"/>
    <w:multiLevelType w:val="multilevel"/>
    <w:tmpl w:val="B73A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11AD8"/>
    <w:multiLevelType w:val="multilevel"/>
    <w:tmpl w:val="C2AE3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5DBC"/>
    <w:rsid w:val="004F5DBC"/>
    <w:rsid w:val="007B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4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20"/>
    <w:next w:val="20"/>
    <w:uiPriority w:val="9"/>
    <w:semiHidden/>
    <w:unhideWhenUsed/>
    <w:qFormat/>
    <w:rsid w:val="001A2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0"/>
    <w:next w:val="20"/>
    <w:uiPriority w:val="9"/>
    <w:semiHidden/>
    <w:unhideWhenUsed/>
    <w:qFormat/>
    <w:rsid w:val="001A2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0"/>
    <w:next w:val="20"/>
    <w:uiPriority w:val="9"/>
    <w:semiHidden/>
    <w:unhideWhenUsed/>
    <w:qFormat/>
    <w:rsid w:val="001A2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0"/>
    <w:next w:val="20"/>
    <w:uiPriority w:val="9"/>
    <w:semiHidden/>
    <w:unhideWhenUsed/>
    <w:qFormat/>
    <w:rsid w:val="001A20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0"/>
    <w:next w:val="20"/>
    <w:uiPriority w:val="9"/>
    <w:semiHidden/>
    <w:unhideWhenUsed/>
    <w:qFormat/>
    <w:rsid w:val="001A2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DBC"/>
  </w:style>
  <w:style w:type="table" w:customStyle="1" w:styleId="TableNormal">
    <w:name w:val="Table Normal"/>
    <w:rsid w:val="004F5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0"/>
    <w:next w:val="20"/>
    <w:uiPriority w:val="10"/>
    <w:qFormat/>
    <w:rsid w:val="001A2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51C56"/>
  </w:style>
  <w:style w:type="table" w:customStyle="1" w:styleId="TableNormal0">
    <w:name w:val="Table Normal"/>
    <w:rsid w:val="00A51C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51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1A2055"/>
  </w:style>
  <w:style w:type="table" w:customStyle="1" w:styleId="TableNormal2">
    <w:name w:val="Table Normal"/>
    <w:rsid w:val="001A2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1A2055"/>
  </w:style>
  <w:style w:type="table" w:customStyle="1" w:styleId="TableNormal3">
    <w:name w:val="Table Normal"/>
    <w:rsid w:val="001A20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6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7">
    <w:name w:val="Hyperlink"/>
    <w:basedOn w:val="a0"/>
    <w:uiPriority w:val="99"/>
    <w:unhideWhenUsed/>
    <w:rsid w:val="00612660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5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AE4178"/>
  </w:style>
  <w:style w:type="paragraph" w:styleId="a8">
    <w:name w:val="Body Text Indent"/>
    <w:basedOn w:val="a"/>
    <w:link w:val="a9"/>
    <w:uiPriority w:val="99"/>
    <w:unhideWhenUsed/>
    <w:rsid w:val="00AE4178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E4178"/>
    <w:rPr>
      <w:rFonts w:ascii="Calibri" w:eastAsia="Calibri" w:hAnsi="Calibri" w:cs="Calibri"/>
      <w:kern w:val="0"/>
    </w:rPr>
  </w:style>
  <w:style w:type="paragraph" w:styleId="aa">
    <w:name w:val="Normal (Web)"/>
    <w:aliases w:val="Обычный (Web)"/>
    <w:basedOn w:val="a"/>
    <w:link w:val="ab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paragraph" w:styleId="af3">
    <w:name w:val="Subtitle"/>
    <w:basedOn w:val="normal"/>
    <w:next w:val="normal"/>
    <w:rsid w:val="004F5DB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rsid w:val="001A205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3"/>
    <w:rsid w:val="001A20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3"/>
    <w:rsid w:val="001A2055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A51C5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F5DBC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F5D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rsid w:val="004F5DB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nova.karakoz@kaznu.kz" TargetMode="External"/><Relationship Id="rId13" Type="http://schemas.openxmlformats.org/officeDocument/2006/relationships/hyperlink" Target="https://phet.colorado.edu/en/simulations/filter?subjects=chemistry&amp;type=html,prototype" TargetMode="External"/><Relationship Id="rId18" Type="http://schemas.openxmlformats.org/officeDocument/2006/relationships/hyperlink" Target="https://classroom.google.com/c/NTQ1NjY4OTc4OTUy/m/NTQ1NjY4MjUwNzI0/details" TargetMode="External"/><Relationship Id="rId26" Type="http://schemas.openxmlformats.org/officeDocument/2006/relationships/hyperlink" Target="https://drive.google.com/file/d/15EqBJ3SuI9UvDi4MQDSRNEobzTEmEJP6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hyperlink" Target="mailto:shevchenko.anas@gmail.co" TargetMode="External"/><Relationship Id="rId12" Type="http://schemas.openxmlformats.org/officeDocument/2006/relationships/hyperlink" Target="mailto:gulsaraakanova.kz@gmail.com" TargetMode="External"/><Relationship Id="rId17" Type="http://schemas.openxmlformats.org/officeDocument/2006/relationships/hyperlink" Target="https://chemcollective.org/vlab/vlab.php" TargetMode="External"/><Relationship Id="rId25" Type="http://schemas.openxmlformats.org/officeDocument/2006/relationships/hyperlink" Target="https://drive.google.com/file/d/15EqBJ3SuI9UvDi4MQDSRNEobzTEmEJP6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xchange.org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9" Type="http://schemas.openxmlformats.org/officeDocument/2006/relationships/hyperlink" Target="https://dl.kaznu.kz/pics/sd/%D0%9F%D1%80%D0%B0%D0%B2%D0%B8%D0%BB%D0%B0%20%D0%BF%D0%BE%20%D0%94%D0%9E%D0%A2%20%D0%9A%D0%B0%D0%B7%D0%9D%D0%A3%20%D0%B8%D0%BC%D0%B5%D0%BD%D0%B8%20%D0%B0%D0%BB%D1%8C-%D0%A4%D0%B0%D1%80%D0%B0%D0%B1%D0%B8%20ru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ay3005@mail.ru" TargetMode="External"/><Relationship Id="rId11" Type="http://schemas.openxmlformats.org/officeDocument/2006/relationships/hyperlink" Target="mailto:kamalovamanshuk@gmail.com" TargetMode="External"/><Relationship Id="rId24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hanacademy.org/science/chemistry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8" Type="http://schemas.openxmlformats.org/officeDocument/2006/relationships/hyperlink" Target="https://adilet.zan.kz/rus/docs/V1500010768" TargetMode="External"/><Relationship Id="rId10" Type="http://schemas.openxmlformats.org/officeDocument/2006/relationships/hyperlink" Target="mailto:Azhar.malikkyzy@gmail.com" TargetMode="External"/><Relationship Id="rId19" Type="http://schemas.openxmlformats.org/officeDocument/2006/relationships/hyperlink" Target="https://classroom.google.com/c/MTY0Mjk3NjczMTI5/m/NDIxMjkwNzY3NDQz/detail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ntay1000@gmail.com" TargetMode="External"/><Relationship Id="rId14" Type="http://schemas.openxmlformats.org/officeDocument/2006/relationships/hyperlink" Target="https://pubchem.ncbi.nlm.nih.gov/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hyperlink" Target="https://drive.google.com/file/d/1z9pQvRV3EzMVxNp8nAUBEbcw1p2yjopn/view?usp=sharing" TargetMode="External"/><Relationship Id="rId30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265GKdR6f/Jo65lGkaqqVhX6A==">CgMxLjAyCGguZ2pkZ3hzOAByITFTbUdYN0s0V2FvVkFYYXQ0RWVVMkRjX3UyQWotczU5aw==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6788</Words>
  <Characters>38695</Characters>
  <Application>Microsoft Office Word</Application>
  <DocSecurity>0</DocSecurity>
  <Lines>322</Lines>
  <Paragraphs>90</Paragraphs>
  <ScaleCrop>false</ScaleCrop>
  <Company>Reanimator Extreme Edition</Company>
  <LinksUpToDate>false</LinksUpToDate>
  <CharactersWithSpaces>45393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Дюсенбина Инна</dc:creator>
  <cp:lastModifiedBy>Sulpak</cp:lastModifiedBy>
  <cp:revision>2</cp:revision>
  <dcterms:created xsi:type="dcterms:W3CDTF">2023-10-21T15:11:00Z</dcterms:created>
  <dcterms:modified xsi:type="dcterms:W3CDTF">2023-10-21T15:11:00Z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